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25A" w:rsidRPr="007D5137" w:rsidRDefault="0083125A" w:rsidP="007D513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D5137">
        <w:rPr>
          <w:rFonts w:ascii="Times New Roman" w:hAnsi="Times New Roman" w:cs="Times New Roman"/>
          <w:b/>
        </w:rPr>
        <w:t>MINUTA DE REGULAMENTO</w:t>
      </w:r>
    </w:p>
    <w:p w:rsidR="00E67416" w:rsidRPr="00E67416" w:rsidRDefault="00E67416">
      <w:pPr>
        <w:rPr>
          <w:rFonts w:ascii="Times New Roman" w:hAnsi="Times New Roman" w:cs="Times New Roman"/>
        </w:rPr>
      </w:pPr>
    </w:p>
    <w:p w:rsidR="00E67416" w:rsidRPr="00E67416" w:rsidRDefault="00E67416" w:rsidP="00E67416">
      <w:pPr>
        <w:jc w:val="center"/>
        <w:rPr>
          <w:rFonts w:ascii="Times New Roman" w:hAnsi="Times New Roman" w:cs="Times New Roman"/>
        </w:rPr>
      </w:pPr>
      <w:r w:rsidRPr="00E67416">
        <w:rPr>
          <w:rFonts w:ascii="Times New Roman" w:hAnsi="Times New Roman" w:cs="Times New Roman"/>
        </w:rPr>
        <w:t>DECRETO</w:t>
      </w:r>
      <w:r w:rsidR="007D5137">
        <w:rPr>
          <w:rFonts w:ascii="Times New Roman" w:hAnsi="Times New Roman" w:cs="Times New Roman"/>
        </w:rPr>
        <w:t xml:space="preserve"> OU PORTARIA</w:t>
      </w:r>
      <w:r w:rsidRPr="00E67416">
        <w:rPr>
          <w:rFonts w:ascii="Times New Roman" w:hAnsi="Times New Roman" w:cs="Times New Roman"/>
        </w:rPr>
        <w:t xml:space="preserve"> Nº............/......./.......</w:t>
      </w:r>
    </w:p>
    <w:p w:rsidR="00E67416" w:rsidRDefault="00E67416" w:rsidP="00E67416">
      <w:pPr>
        <w:ind w:left="354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67416">
        <w:rPr>
          <w:rFonts w:ascii="Times New Roman" w:hAnsi="Times New Roman" w:cs="Times New Roman"/>
          <w:color w:val="000000" w:themeColor="text1"/>
          <w:sz w:val="20"/>
          <w:szCs w:val="20"/>
        </w:rPr>
        <w:t>Regulamenta o artigo 71 da Lei 8112 de 11 de dezembro de 1990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que </w:t>
      </w:r>
      <w:r w:rsidRPr="00E6741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dispõe sobre o regime jurídico dos servidores públicos civis da União, das autarquias e das fundações públicas federais.</w:t>
      </w:r>
    </w:p>
    <w:p w:rsidR="00E67416" w:rsidRDefault="00E67416" w:rsidP="00E67416">
      <w:pPr>
        <w:ind w:left="3544"/>
        <w:jc w:val="both"/>
        <w:rPr>
          <w:rFonts w:ascii="Times New Roman" w:hAnsi="Times New Roman" w:cs="Times New Roman"/>
          <w:sz w:val="20"/>
          <w:szCs w:val="20"/>
        </w:rPr>
      </w:pPr>
    </w:p>
    <w:p w:rsidR="00E67416" w:rsidRPr="00E67416" w:rsidRDefault="007D5137" w:rsidP="004E7DD0">
      <w:pPr>
        <w:pStyle w:val="NormalWeb"/>
        <w:ind w:left="-567"/>
        <w:rPr>
          <w:color w:val="000000"/>
          <w:sz w:val="27"/>
          <w:szCs w:val="27"/>
        </w:rPr>
      </w:pPr>
      <w:r>
        <w:rPr>
          <w:b/>
          <w:bCs/>
          <w:color w:val="000000"/>
        </w:rPr>
        <w:t>O MINISTRO DA EDUCAÇÃO</w:t>
      </w:r>
      <w:r w:rsidR="00E67416" w:rsidRPr="00E67416">
        <w:rPr>
          <w:b/>
          <w:bCs/>
          <w:color w:val="000000"/>
        </w:rPr>
        <w:t>, </w:t>
      </w:r>
      <w:r w:rsidR="00E67416" w:rsidRPr="00E67416">
        <w:rPr>
          <w:color w:val="000000"/>
        </w:rPr>
        <w:t>no uso da atribuição que lhe confere o art. 84, inciso IV, da Constituição,</w:t>
      </w:r>
    </w:p>
    <w:p w:rsidR="00E67416" w:rsidRDefault="00E67416" w:rsidP="004E7DD0">
      <w:pPr>
        <w:pStyle w:val="NormalWeb"/>
        <w:ind w:left="-567"/>
        <w:rPr>
          <w:b/>
          <w:bCs/>
          <w:color w:val="000000"/>
        </w:rPr>
      </w:pPr>
      <w:r w:rsidRPr="00E67416">
        <w:rPr>
          <w:b/>
          <w:bCs/>
          <w:color w:val="000000"/>
        </w:rPr>
        <w:t>DECRETA</w:t>
      </w:r>
      <w:r w:rsidR="007D5137">
        <w:rPr>
          <w:b/>
          <w:bCs/>
          <w:color w:val="000000"/>
        </w:rPr>
        <w:t xml:space="preserve"> (no caso de Decreto) ou Decide (no caso de portaria)</w:t>
      </w:r>
      <w:r w:rsidRPr="00E67416">
        <w:rPr>
          <w:b/>
          <w:bCs/>
          <w:color w:val="000000"/>
        </w:rPr>
        <w:t>:</w:t>
      </w:r>
    </w:p>
    <w:p w:rsidR="00D26D3E" w:rsidRDefault="00E67416" w:rsidP="00D26D3E">
      <w:pPr>
        <w:pStyle w:val="NormalWeb"/>
        <w:ind w:left="-567"/>
        <w:jc w:val="both"/>
      </w:pPr>
      <w:r w:rsidRPr="00D26D3E">
        <w:rPr>
          <w:b/>
          <w:bCs/>
          <w:color w:val="000000" w:themeColor="text1"/>
        </w:rPr>
        <w:t xml:space="preserve">Art. </w:t>
      </w:r>
      <w:r w:rsidR="00D26D3E" w:rsidRPr="00D26D3E">
        <w:rPr>
          <w:b/>
          <w:bCs/>
          <w:color w:val="000000" w:themeColor="text1"/>
        </w:rPr>
        <w:t>1</w:t>
      </w:r>
      <w:r w:rsidRPr="00D26D3E">
        <w:rPr>
          <w:b/>
          <w:bCs/>
          <w:color w:val="000000" w:themeColor="text1"/>
        </w:rPr>
        <w:t>º</w:t>
      </w:r>
      <w:r w:rsidR="00D26D3E" w:rsidRPr="00D26D3E">
        <w:rPr>
          <w:bCs/>
          <w:color w:val="000000" w:themeColor="text1"/>
        </w:rPr>
        <w:t xml:space="preserve">: </w:t>
      </w:r>
      <w:r w:rsidR="004E7DD0">
        <w:t xml:space="preserve">O Adicional de Atividade Penosa será pago aos </w:t>
      </w:r>
      <w:r w:rsidR="00634658">
        <w:t xml:space="preserve">servidores do Ministério da Educação </w:t>
      </w:r>
      <w:r w:rsidR="004E7DD0">
        <w:t xml:space="preserve">integrantes das carreiras </w:t>
      </w:r>
      <w:r w:rsidR="00634658">
        <w:t>Docentes</w:t>
      </w:r>
      <w:r w:rsidR="004E7DD0">
        <w:t xml:space="preserve"> de Ensino Superior, Professor de Ensino Básico, Técnico e Tecnológico - EBTT e Técnico Administrativo em Educação</w:t>
      </w:r>
      <w:r w:rsidR="00634658">
        <w:t xml:space="preserve"> – TAE</w:t>
      </w:r>
      <w:r w:rsidR="004E7DD0">
        <w:t xml:space="preserve">, em exercício nas unidades de lotação localizadas em zonas de fronteira ou localidades cujas condições de vida o justifiquem, constantes da </w:t>
      </w:r>
      <w:r w:rsidR="00634658">
        <w:t>relação em anexo deste Decreto</w:t>
      </w:r>
      <w:r w:rsidR="007D5137">
        <w:t>/portaria</w:t>
      </w:r>
      <w:r w:rsidR="004E7DD0">
        <w:t>.</w:t>
      </w:r>
    </w:p>
    <w:p w:rsidR="00634658" w:rsidRDefault="00634658" w:rsidP="00D26D3E">
      <w:pPr>
        <w:pStyle w:val="NormalWeb"/>
        <w:ind w:left="-567"/>
        <w:jc w:val="both"/>
      </w:pPr>
      <w:r>
        <w:rPr>
          <w:b/>
          <w:bCs/>
          <w:color w:val="000000" w:themeColor="text1"/>
        </w:rPr>
        <w:t xml:space="preserve">§1º. </w:t>
      </w:r>
      <w:r>
        <w:t xml:space="preserve">Caracteriza-se como zona de fronteira a faixa de até </w:t>
      </w:r>
      <w:r w:rsidR="007D5137">
        <w:t>150 km (</w:t>
      </w:r>
      <w:r>
        <w:t>cento e cinquenta quilômetros</w:t>
      </w:r>
      <w:r w:rsidR="007D5137">
        <w:t>)</w:t>
      </w:r>
      <w:r>
        <w:t xml:space="preserve"> de largura ao longo das fronteiras terrestres.</w:t>
      </w:r>
    </w:p>
    <w:p w:rsidR="00634658" w:rsidRDefault="00634658" w:rsidP="00D26D3E">
      <w:pPr>
        <w:pStyle w:val="NormalWeb"/>
        <w:ind w:left="-567"/>
        <w:jc w:val="both"/>
      </w:pPr>
      <w:r>
        <w:rPr>
          <w:b/>
          <w:bCs/>
          <w:color w:val="000000" w:themeColor="text1"/>
        </w:rPr>
        <w:t xml:space="preserve">§2º. </w:t>
      </w:r>
      <w:r>
        <w:t>Consideram-se localidades cujas condições de vida justifiquem a percepção do Adicional de Atividade Penosa aquelas situadas na Amazônia Legal e Nordeste Brasileiro e que tenham população inferior a 200 (duzentos) mil habitantes, conforme dados do IBGE.</w:t>
      </w:r>
    </w:p>
    <w:p w:rsidR="00634658" w:rsidRDefault="00634658" w:rsidP="00634658">
      <w:pPr>
        <w:pStyle w:val="NormalWeb"/>
        <w:ind w:left="-567"/>
        <w:jc w:val="both"/>
      </w:pPr>
      <w:r>
        <w:rPr>
          <w:b/>
          <w:bCs/>
          <w:color w:val="000000" w:themeColor="text1"/>
        </w:rPr>
        <w:t>Art.</w:t>
      </w:r>
      <w:r>
        <w:t xml:space="preserve"> 2º. O Adicional de Atividade Penosa configura-se como vantagem decorrente da localidade de exercício do cargo cujo valor será apurado na razão de 30% (trinta por cento) do vencimento básico mensal </w:t>
      </w:r>
      <w:r w:rsidR="007D5137">
        <w:t xml:space="preserve">dos </w:t>
      </w:r>
      <w:r>
        <w:t>integrantes das carreiras Docentes de Ensino Superior, Professor de Ensino Básico, Técnico e Tecnológico - EBTT e Técnico Administrativo em Educação – TAE</w:t>
      </w:r>
    </w:p>
    <w:p w:rsidR="00634658" w:rsidRDefault="00634658" w:rsidP="00D26D3E">
      <w:pPr>
        <w:pStyle w:val="NormalWeb"/>
        <w:ind w:left="-567"/>
        <w:jc w:val="both"/>
      </w:pPr>
      <w:r>
        <w:t>Art. 3º O pagamento da vantagem é devido a partir do início do exercício do servidor na localidade ensejadora da concessão e cessará quando ocorrer:</w:t>
      </w:r>
    </w:p>
    <w:p w:rsidR="00634658" w:rsidRDefault="00634658" w:rsidP="00D26D3E">
      <w:pPr>
        <w:pStyle w:val="NormalWeb"/>
        <w:ind w:left="-567"/>
        <w:jc w:val="both"/>
      </w:pPr>
      <w:r>
        <w:t xml:space="preserve"> I – Falecimento;</w:t>
      </w:r>
    </w:p>
    <w:p w:rsidR="00634658" w:rsidRDefault="00634658" w:rsidP="00D26D3E">
      <w:pPr>
        <w:pStyle w:val="NormalWeb"/>
        <w:ind w:left="-567"/>
        <w:jc w:val="both"/>
      </w:pPr>
      <w:r>
        <w:t xml:space="preserve"> II – Exoneração; </w:t>
      </w:r>
    </w:p>
    <w:p w:rsidR="00634658" w:rsidRDefault="00634658" w:rsidP="00D26D3E">
      <w:pPr>
        <w:pStyle w:val="NormalWeb"/>
        <w:ind w:left="-567"/>
        <w:jc w:val="both"/>
      </w:pPr>
      <w:r>
        <w:t>III – Aposentadoria ou disponibilidade;</w:t>
      </w:r>
    </w:p>
    <w:p w:rsidR="00634658" w:rsidRDefault="00634658" w:rsidP="00D26D3E">
      <w:pPr>
        <w:pStyle w:val="NormalWeb"/>
        <w:ind w:left="-567"/>
        <w:jc w:val="both"/>
      </w:pPr>
      <w:r>
        <w:t xml:space="preserve"> IV – Movimentação para outra localização não alcançada pela vantagem; </w:t>
      </w:r>
    </w:p>
    <w:p w:rsidR="00634658" w:rsidRDefault="00634658" w:rsidP="00D26D3E">
      <w:pPr>
        <w:pStyle w:val="NormalWeb"/>
        <w:ind w:left="-567"/>
        <w:jc w:val="both"/>
      </w:pPr>
      <w:r>
        <w:t>V – Afastamento para exercício de mandato eletivo ou para curso no exterior;</w:t>
      </w:r>
    </w:p>
    <w:p w:rsidR="00634658" w:rsidRDefault="00634658" w:rsidP="00D26D3E">
      <w:pPr>
        <w:pStyle w:val="NormalWeb"/>
        <w:ind w:left="-567"/>
        <w:jc w:val="both"/>
      </w:pPr>
      <w:r>
        <w:t xml:space="preserve"> VI- Retorno ao órgão de origem no caso dos requisitados; e </w:t>
      </w:r>
    </w:p>
    <w:p w:rsidR="00634658" w:rsidRDefault="00634658" w:rsidP="00D26D3E">
      <w:pPr>
        <w:pStyle w:val="NormalWeb"/>
        <w:ind w:left="-567"/>
        <w:jc w:val="both"/>
      </w:pPr>
      <w:r>
        <w:lastRenderedPageBreak/>
        <w:t xml:space="preserve">VII – qualquer afastamento não considerado como de efetivo exercício. </w:t>
      </w:r>
    </w:p>
    <w:p w:rsidR="00634658" w:rsidRDefault="00634658" w:rsidP="00D26D3E">
      <w:pPr>
        <w:pStyle w:val="NormalWeb"/>
        <w:ind w:left="-567"/>
        <w:jc w:val="both"/>
      </w:pPr>
      <w:r>
        <w:t>Parágrafo único. No caso do inciso IV, a cessação do pagamento ocorrerá a partir da efetiva movimentação do servidor.</w:t>
      </w:r>
    </w:p>
    <w:p w:rsidR="007D5137" w:rsidRDefault="007D5137" w:rsidP="007D5137">
      <w:pPr>
        <w:pStyle w:val="NormalWeb"/>
        <w:ind w:left="-567"/>
        <w:jc w:val="both"/>
      </w:pPr>
      <w:r>
        <w:t>Art. 4º A Adicional de Atividade Penosa não é incorporado aos proventos da aposentadoria ou disponibilidade, nem servirá de base de cálculo para a contribuição previdenciária.</w:t>
      </w:r>
    </w:p>
    <w:p w:rsidR="007D5137" w:rsidRDefault="007D5137" w:rsidP="007D5137">
      <w:pPr>
        <w:pStyle w:val="NormalWeb"/>
        <w:ind w:left="-567"/>
        <w:jc w:val="both"/>
      </w:pPr>
      <w:r>
        <w:t>Art. 5º Compete ao Órgão SIPEC do Ministro da Educação decidir os casos omissos, bem como dirimir as dúvidas suscitadas em relação à aplicação das disposições deste Decreto.</w:t>
      </w:r>
    </w:p>
    <w:p w:rsidR="007D5137" w:rsidRDefault="007D5137" w:rsidP="007D5137">
      <w:pPr>
        <w:pStyle w:val="NormalWeb"/>
        <w:ind w:left="-567"/>
        <w:jc w:val="both"/>
      </w:pPr>
      <w:r>
        <w:t>Art. 6º Este Decreto ou Portaria entra em vigor a partir de .................................................</w:t>
      </w:r>
    </w:p>
    <w:p w:rsidR="007D5137" w:rsidRDefault="007D5137" w:rsidP="007D5137">
      <w:pPr>
        <w:pStyle w:val="NormalWeb"/>
        <w:ind w:left="-567"/>
        <w:jc w:val="both"/>
      </w:pPr>
    </w:p>
    <w:p w:rsidR="007D5137" w:rsidRDefault="007D5137" w:rsidP="007D5137">
      <w:pPr>
        <w:pStyle w:val="NormalWeb"/>
        <w:ind w:left="-567"/>
        <w:jc w:val="both"/>
      </w:pPr>
    </w:p>
    <w:p w:rsidR="007D5137" w:rsidRDefault="007D5137" w:rsidP="007D5137">
      <w:pPr>
        <w:pStyle w:val="NormalWeb"/>
        <w:ind w:left="-567"/>
        <w:jc w:val="center"/>
      </w:pPr>
      <w:r>
        <w:t>CAMILO SANTANA</w:t>
      </w:r>
    </w:p>
    <w:p w:rsidR="007D5137" w:rsidRDefault="007D5137" w:rsidP="007D5137">
      <w:pPr>
        <w:pStyle w:val="NormalWeb"/>
        <w:ind w:left="-567"/>
        <w:jc w:val="center"/>
      </w:pPr>
      <w:r>
        <w:t>MINISTRO DA EDUCAÇÃO</w:t>
      </w:r>
    </w:p>
    <w:p w:rsidR="00E67416" w:rsidRPr="00E67416" w:rsidRDefault="00E67416" w:rsidP="00E67416">
      <w:pPr>
        <w:ind w:left="-426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E67416" w:rsidRPr="00E67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D35BF"/>
    <w:multiLevelType w:val="multilevel"/>
    <w:tmpl w:val="55A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74943"/>
    <w:multiLevelType w:val="multilevel"/>
    <w:tmpl w:val="95A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31B33"/>
    <w:multiLevelType w:val="multilevel"/>
    <w:tmpl w:val="5AE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67C58"/>
    <w:multiLevelType w:val="multilevel"/>
    <w:tmpl w:val="07D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80A62"/>
    <w:multiLevelType w:val="multilevel"/>
    <w:tmpl w:val="0C0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35"/>
    <w:rsid w:val="001F5D00"/>
    <w:rsid w:val="00224A9D"/>
    <w:rsid w:val="002F24B9"/>
    <w:rsid w:val="004E7DD0"/>
    <w:rsid w:val="005A4055"/>
    <w:rsid w:val="006206A2"/>
    <w:rsid w:val="00634658"/>
    <w:rsid w:val="007D5137"/>
    <w:rsid w:val="0083125A"/>
    <w:rsid w:val="00911949"/>
    <w:rsid w:val="00A62370"/>
    <w:rsid w:val="00C86135"/>
    <w:rsid w:val="00D26D3E"/>
    <w:rsid w:val="00E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3BDB6-B48D-40D5-9D00-F31C7E68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v3um">
    <w:name w:val="uv3um"/>
    <w:basedOn w:val="Fontepargpadro"/>
    <w:rsid w:val="00C86135"/>
  </w:style>
  <w:style w:type="character" w:styleId="Forte">
    <w:name w:val="Strong"/>
    <w:basedOn w:val="Fontepargpadro"/>
    <w:uiPriority w:val="22"/>
    <w:qFormat/>
    <w:rsid w:val="00C861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059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09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4957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3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39353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1899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7070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1806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6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948449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0197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8871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346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6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7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251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274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6482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4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75817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071106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01611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2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36491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64288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7107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401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924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475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Cavalcante Alv</dc:creator>
  <cp:keywords/>
  <dc:description/>
  <cp:lastModifiedBy>IFRO</cp:lastModifiedBy>
  <cp:revision>2</cp:revision>
  <dcterms:created xsi:type="dcterms:W3CDTF">2025-05-06T18:37:00Z</dcterms:created>
  <dcterms:modified xsi:type="dcterms:W3CDTF">2025-05-06T18:37:00Z</dcterms:modified>
</cp:coreProperties>
</file>