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DB" w:rsidRDefault="001644DB" w:rsidP="001644DB"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265238B4" wp14:editId="3B562456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591425" cy="10706100"/>
            <wp:effectExtent l="0" t="0" r="9525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5" name="Imagem 5" descr="C:\Users\01251997244\Desktop\capa JIFRO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251997244\Desktop\capa JIFRO 20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5774D" wp14:editId="094E9261">
                <wp:simplePos x="0" y="0"/>
                <wp:positionH relativeFrom="column">
                  <wp:posOffset>525381</wp:posOffset>
                </wp:positionH>
                <wp:positionV relativeFrom="paragraph">
                  <wp:posOffset>5617963</wp:posOffset>
                </wp:positionV>
                <wp:extent cx="4443848" cy="2115879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3848" cy="21158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07D" w:rsidRDefault="008C007D" w:rsidP="001644DB">
                            <w:pPr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pt-BR"/>
                              </w:rPr>
                            </w:pPr>
                          </w:p>
                          <w:p w:rsidR="00255531" w:rsidRPr="008C007D" w:rsidRDefault="009E42AA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C007D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eastAsia="pt-BR"/>
                              </w:rPr>
                              <w:t>XADREZ</w:t>
                            </w:r>
                          </w:p>
                          <w:p w:rsidR="00255531" w:rsidRDefault="00255531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P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.35pt;margin-top:442.35pt;width:349.9pt;height:16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" filled="f" stroked="f">
                <v:textbox>
                  <w:txbxContent>
                    <w:p w:rsidR="008C007D" w:rsidRDefault="008C007D" w:rsidP="001644DB">
                      <w:pPr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pt-BR"/>
                        </w:rPr>
                      </w:pPr>
                    </w:p>
                    <w:p w:rsidR="00255531" w:rsidRPr="008C007D" w:rsidRDefault="009E42AA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8C007D">
                        <w:rPr>
                          <w:rFonts w:ascii="Times New Roman" w:eastAsia="Times New Roman" w:hAnsi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  <w:lang w:eastAsia="pt-BR"/>
                        </w:rPr>
                        <w:t>XADREZ</w:t>
                      </w:r>
                    </w:p>
                    <w:p w:rsidR="00255531" w:rsidRDefault="00255531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P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5531" w:rsidRDefault="00255531" w:rsidP="0025553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255531" w:rsidRDefault="00255531" w:rsidP="0025553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255531">
        <w:rPr>
          <w:rFonts w:ascii="Times New Roman" w:hAnsi="Times New Roman" w:cs="Times New Roman"/>
          <w:sz w:val="24"/>
          <w:szCs w:val="24"/>
        </w:rPr>
        <w:t>Regulamento Específico</w:t>
      </w:r>
    </w:p>
    <w:p w:rsidR="00A73934" w:rsidRDefault="00A73934" w:rsidP="009E42AA">
      <w:pPr>
        <w:pStyle w:val="SemEspaamento"/>
        <w:rPr>
          <w:lang w:eastAsia="pt-BR"/>
        </w:rPr>
      </w:pPr>
    </w:p>
    <w:p w:rsidR="001644DB" w:rsidRPr="009E42AA" w:rsidRDefault="009E42AA" w:rsidP="009E42A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E42AA">
        <w:rPr>
          <w:rFonts w:ascii="Times New Roman" w:hAnsi="Times New Roman" w:cs="Times New Roman"/>
          <w:b/>
          <w:sz w:val="24"/>
          <w:szCs w:val="24"/>
          <w:lang w:eastAsia="pt-BR"/>
        </w:rPr>
        <w:t>XADREZ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1º-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A competição de Xadrez será realizada de acordo com as regras oficiais da Confederação Brasileira de Xadrez – CBX </w:t>
      </w:r>
      <w:r w:rsidRPr="009E42AA">
        <w:rPr>
          <w:rFonts w:ascii="Times New Roman" w:eastAsia="Calibri" w:hAnsi="Times New Roman" w:cs="Times New Roman"/>
          <w:sz w:val="24"/>
          <w:szCs w:val="24"/>
        </w:rPr>
        <w:t>e adaptações deste Regulamento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.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Cs/>
          <w:sz w:val="24"/>
          <w:szCs w:val="24"/>
          <w:lang w:eastAsia="pt-BR"/>
        </w:rPr>
        <w:t>Parágrafo único.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É responsabilidade de cada </w:t>
      </w:r>
      <w:proofErr w:type="spellStart"/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Câmpus</w:t>
      </w:r>
      <w:proofErr w:type="spellEnd"/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participante providenciar uma cópia das “Leis do Xadrez” em vigor, orientando seus alunos-atletas e </w:t>
      </w:r>
      <w:r w:rsidRPr="009E42AA">
        <w:rPr>
          <w:rFonts w:ascii="Times New Roman" w:eastAsia="Calibri" w:hAnsi="Times New Roman" w:cs="Times New Roman"/>
          <w:sz w:val="24"/>
          <w:szCs w:val="24"/>
        </w:rPr>
        <w:t>profissionais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-técnicos para a observação das mesmas durante a competição.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Art. 2º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- Cada </w:t>
      </w:r>
      <w:proofErr w:type="spellStart"/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Câmpus</w:t>
      </w:r>
      <w:proofErr w:type="spellEnd"/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poderá inscrever até </w:t>
      </w:r>
      <w:proofErr w:type="gramStart"/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3</w:t>
      </w:r>
      <w:proofErr w:type="gramEnd"/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(três) alunos-atletas por gênero na modalidade.</w:t>
      </w:r>
    </w:p>
    <w:p w:rsid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3º-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A competição será realizada em dois torneios, um por equipes e outro individual, nos gêneros masculino e feminino, sendo cada equipe composta por </w:t>
      </w:r>
      <w:proofErr w:type="gramStart"/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3</w:t>
      </w:r>
      <w:proofErr w:type="gramEnd"/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(três) alunos-atletas, somando-se os resultados de ambos os torneios, por sistema “Grand Prix”, para apuração do resultado final dos </w:t>
      </w:r>
      <w:proofErr w:type="spellStart"/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Câmpus</w:t>
      </w:r>
      <w:proofErr w:type="spellEnd"/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, somando-se a pontuação obtida no torneio por equipes com a pontuação obtida por cada um de seus atletas no torneio individual, conforme descrito abaixo:</w:t>
      </w:r>
    </w:p>
    <w:p w:rsidR="008C007D" w:rsidRDefault="008C007D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8C007D" w:rsidRPr="009E42AA" w:rsidRDefault="008C007D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tbl>
      <w:tblPr>
        <w:tblStyle w:val="SombreamentoClaro"/>
        <w:tblW w:w="4373" w:type="pct"/>
        <w:jc w:val="center"/>
        <w:tblInd w:w="-176" w:type="dxa"/>
        <w:tblLook w:val="0500" w:firstRow="0" w:lastRow="0" w:firstColumn="0" w:lastColumn="1" w:noHBand="0" w:noVBand="1"/>
      </w:tblPr>
      <w:tblGrid>
        <w:gridCol w:w="3189"/>
        <w:gridCol w:w="2296"/>
        <w:gridCol w:w="2142"/>
      </w:tblGrid>
      <w:tr w:rsidR="009E42AA" w:rsidRPr="009E42AA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2AA">
              <w:rPr>
                <w:rFonts w:ascii="Times New Roman" w:hAnsi="Times New Roman"/>
                <w:b/>
                <w:sz w:val="24"/>
                <w:szCs w:val="24"/>
              </w:rPr>
              <w:t>COLOCAÇÃO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2AA">
              <w:rPr>
                <w:rFonts w:ascii="Times New Roman" w:hAnsi="Times New Roman"/>
                <w:b/>
                <w:bCs/>
                <w:sz w:val="24"/>
                <w:szCs w:val="24"/>
              </w:rPr>
              <w:t>POR EQUIPES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INDIVIDUAL</w:t>
            </w:r>
          </w:p>
        </w:tc>
      </w:tr>
      <w:tr w:rsidR="009E42AA" w:rsidRPr="009E42AA" w:rsidTr="00552CCE">
        <w:trPr>
          <w:trHeight w:val="112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E42AA">
              <w:rPr>
                <w:rFonts w:ascii="Times New Roman" w:hAnsi="Times New Roman"/>
                <w:b/>
                <w:sz w:val="24"/>
                <w:szCs w:val="24"/>
              </w:rPr>
              <w:t>1o. Lugar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>pts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9E42AA">
              <w:rPr>
                <w:rFonts w:ascii="Times New Roman" w:hAnsi="Times New Roman"/>
                <w:sz w:val="24"/>
                <w:szCs w:val="24"/>
              </w:rPr>
              <w:t>pts</w:t>
            </w:r>
            <w:proofErr w:type="spellEnd"/>
          </w:p>
        </w:tc>
      </w:tr>
      <w:tr w:rsidR="009E42AA" w:rsidRPr="009E42AA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2o. Lugar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9E42AA">
              <w:rPr>
                <w:rFonts w:ascii="Times New Roman" w:hAnsi="Times New Roman"/>
                <w:sz w:val="24"/>
                <w:szCs w:val="24"/>
              </w:rPr>
              <w:t>pts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9E42AA">
              <w:rPr>
                <w:rFonts w:ascii="Times New Roman" w:hAnsi="Times New Roman"/>
                <w:sz w:val="24"/>
                <w:szCs w:val="24"/>
              </w:rPr>
              <w:t>pts</w:t>
            </w:r>
            <w:proofErr w:type="spellEnd"/>
          </w:p>
        </w:tc>
      </w:tr>
      <w:tr w:rsidR="009E42AA" w:rsidRPr="009E42AA" w:rsidTr="00552CCE">
        <w:trPr>
          <w:trHeight w:val="112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E42AA">
              <w:rPr>
                <w:rFonts w:ascii="Times New Roman" w:hAnsi="Times New Roman"/>
                <w:b/>
                <w:sz w:val="24"/>
                <w:szCs w:val="24"/>
              </w:rPr>
              <w:t>3o. Lugar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>pts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>pts</w:t>
            </w:r>
            <w:proofErr w:type="spellEnd"/>
          </w:p>
        </w:tc>
      </w:tr>
      <w:tr w:rsidR="009E42AA" w:rsidRPr="009E42AA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4o. Lugar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9E42AA">
              <w:rPr>
                <w:rFonts w:ascii="Times New Roman" w:hAnsi="Times New Roman"/>
                <w:sz w:val="24"/>
                <w:szCs w:val="24"/>
              </w:rPr>
              <w:t>pts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08 </w:t>
            </w:r>
            <w:proofErr w:type="spellStart"/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>pts</w:t>
            </w:r>
            <w:proofErr w:type="spellEnd"/>
          </w:p>
        </w:tc>
      </w:tr>
      <w:tr w:rsidR="009E42AA" w:rsidRPr="009E42AA" w:rsidTr="00552CCE">
        <w:trPr>
          <w:trHeight w:val="112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E42AA">
              <w:rPr>
                <w:rFonts w:ascii="Times New Roman" w:hAnsi="Times New Roman"/>
                <w:b/>
                <w:sz w:val="24"/>
                <w:szCs w:val="24"/>
              </w:rPr>
              <w:t>5o. Lugar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>pts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06 </w:t>
            </w:r>
            <w:proofErr w:type="spellStart"/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>pts</w:t>
            </w:r>
            <w:proofErr w:type="spellEnd"/>
          </w:p>
        </w:tc>
      </w:tr>
      <w:tr w:rsidR="009E42AA" w:rsidRPr="009E42AA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6o. Lugar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proofErr w:type="spellStart"/>
            <w:r w:rsidRPr="009E42AA">
              <w:rPr>
                <w:rFonts w:ascii="Times New Roman" w:hAnsi="Times New Roman"/>
                <w:sz w:val="24"/>
                <w:szCs w:val="24"/>
              </w:rPr>
              <w:t>pts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proofErr w:type="spellStart"/>
            <w:r w:rsidRPr="009E42AA">
              <w:rPr>
                <w:rFonts w:ascii="Times New Roman" w:hAnsi="Times New Roman"/>
                <w:sz w:val="24"/>
                <w:szCs w:val="24"/>
              </w:rPr>
              <w:t>pts</w:t>
            </w:r>
            <w:proofErr w:type="spellEnd"/>
          </w:p>
        </w:tc>
      </w:tr>
      <w:tr w:rsidR="009E42AA" w:rsidRPr="009E42AA" w:rsidTr="00552CCE">
        <w:trPr>
          <w:trHeight w:val="112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7o. Lugar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04 </w:t>
            </w:r>
            <w:proofErr w:type="spellStart"/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>pts</w:t>
            </w:r>
            <w:proofErr w:type="spellEnd"/>
          </w:p>
        </w:tc>
      </w:tr>
      <w:tr w:rsidR="009E42AA" w:rsidRPr="009E42AA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8o. Lugar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03 </w:t>
            </w:r>
            <w:proofErr w:type="spellStart"/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>pts</w:t>
            </w:r>
            <w:proofErr w:type="spellEnd"/>
          </w:p>
        </w:tc>
      </w:tr>
      <w:tr w:rsidR="009E42AA" w:rsidRPr="009E42AA" w:rsidTr="00552CCE">
        <w:trPr>
          <w:trHeight w:val="112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9o. Lugar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02 </w:t>
            </w:r>
            <w:proofErr w:type="spellStart"/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>pts</w:t>
            </w:r>
            <w:proofErr w:type="spellEnd"/>
          </w:p>
        </w:tc>
      </w:tr>
      <w:tr w:rsidR="009E42AA" w:rsidRPr="009E42AA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10o. Lugar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9E42AA">
              <w:rPr>
                <w:rFonts w:ascii="Times New Roman" w:hAnsi="Times New Roman" w:cs="Arial"/>
                <w:color w:val="000000"/>
                <w:sz w:val="24"/>
                <w:szCs w:val="24"/>
              </w:rPr>
              <w:t>pts</w:t>
            </w:r>
            <w:proofErr w:type="spellEnd"/>
          </w:p>
        </w:tc>
      </w:tr>
    </w:tbl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8C007D" w:rsidRPr="009E42AA" w:rsidRDefault="008C007D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4º-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O Aluno deverá comparecer ao local de competição com antecedência de 15 (quinze) minutos e devidamente uniformizado trajando calça e camisa institucional com manga e sapato fechado.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5º-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A competição por equipes será disputada, pelo sistema </w:t>
      </w:r>
      <w:proofErr w:type="gramStart"/>
      <w:r w:rsidRPr="009E42AA">
        <w:rPr>
          <w:rFonts w:ascii="Times New Roman" w:eastAsia="Calibri" w:hAnsi="Times New Roman" w:cs="Times New Roman"/>
          <w:bCs/>
          <w:sz w:val="24"/>
          <w:szCs w:val="24"/>
          <w:lang w:eastAsia="pt-BR"/>
        </w:rPr>
        <w:t>Round</w:t>
      </w:r>
      <w:proofErr w:type="gramEnd"/>
      <w:r w:rsidRPr="009E42AA">
        <w:rPr>
          <w:rFonts w:ascii="Times New Roman" w:eastAsia="Calibri" w:hAnsi="Times New Roman" w:cs="Times New Roman"/>
          <w:bCs/>
          <w:sz w:val="24"/>
          <w:szCs w:val="24"/>
          <w:lang w:eastAsia="pt-BR"/>
        </w:rPr>
        <w:t xml:space="preserve"> Robin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(todos contra todos) e a competição individual pelo sistema </w:t>
      </w:r>
      <w:r w:rsidRPr="009E42AA">
        <w:rPr>
          <w:rFonts w:ascii="Times New Roman" w:eastAsia="Calibri" w:hAnsi="Times New Roman" w:cs="Times New Roman"/>
          <w:bCs/>
          <w:sz w:val="24"/>
          <w:szCs w:val="24"/>
          <w:lang w:eastAsia="pt-BR"/>
        </w:rPr>
        <w:t xml:space="preserve">Suíço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de emparceiramento, em 06 (seis) rodadas, com a utilização do programa de emparceiramento </w:t>
      </w:r>
      <w:proofErr w:type="spellStart"/>
      <w:r w:rsidRPr="009E42AA">
        <w:rPr>
          <w:rFonts w:ascii="Times New Roman" w:eastAsia="Calibri" w:hAnsi="Times New Roman" w:cs="Times New Roman"/>
          <w:bCs/>
          <w:sz w:val="24"/>
          <w:szCs w:val="24"/>
          <w:lang w:eastAsia="pt-BR"/>
        </w:rPr>
        <w:t>Swiss</w:t>
      </w:r>
      <w:proofErr w:type="spellEnd"/>
      <w:r w:rsidRPr="009E42AA">
        <w:rPr>
          <w:rFonts w:ascii="Times New Roman" w:eastAsia="Calibri" w:hAnsi="Times New Roman" w:cs="Times New Roman"/>
          <w:bCs/>
          <w:sz w:val="24"/>
          <w:szCs w:val="24"/>
          <w:lang w:eastAsia="pt-BR"/>
        </w:rPr>
        <w:t xml:space="preserve"> Manager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, recomendado pela FIDE, em ambas as competições.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Cs/>
          <w:sz w:val="24"/>
          <w:szCs w:val="24"/>
          <w:lang w:eastAsia="pt-BR"/>
        </w:rPr>
        <w:t>Parágrafo único.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No torneio individual, será aplicada a restrição de emparceiramento a jogadores do mesmo </w:t>
      </w:r>
      <w:proofErr w:type="spellStart"/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Câmpus</w:t>
      </w:r>
      <w:proofErr w:type="spellEnd"/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.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6º-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O tempo de jogo será de 61 (sessenta e um) minutos para cada jogador, no torneio por equipe e de 30 (trinta) minutos no torneio individual.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Cs/>
          <w:sz w:val="24"/>
          <w:szCs w:val="24"/>
          <w:lang w:eastAsia="pt-BR"/>
        </w:rPr>
        <w:t>Parágrafo único.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 arbitragem poderá tolerar atrasos que não ultrapassem o prazo de 15 minutos com relógio acionado.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lastRenderedPageBreak/>
        <w:t>Art. 7º-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 contagem dos pontos será feita: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I – No torneio por equipes a pontuação será nos moldes olímpicos da FIDE: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II – No torneio individual a pontuação será o oficial da FIDE: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tbl>
      <w:tblPr>
        <w:tblStyle w:val="SombreamentoClaro"/>
        <w:tblW w:w="4373" w:type="pct"/>
        <w:jc w:val="center"/>
        <w:tblInd w:w="-176" w:type="dxa"/>
        <w:tblLook w:val="0500" w:firstRow="0" w:lastRow="0" w:firstColumn="0" w:lastColumn="1" w:noHBand="0" w:noVBand="1"/>
      </w:tblPr>
      <w:tblGrid>
        <w:gridCol w:w="3189"/>
        <w:gridCol w:w="2296"/>
        <w:gridCol w:w="2142"/>
      </w:tblGrid>
      <w:tr w:rsidR="009E42AA" w:rsidRPr="009E42AA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2AA">
              <w:rPr>
                <w:rFonts w:ascii="Times New Roman" w:hAnsi="Times New Roman"/>
                <w:b/>
                <w:sz w:val="24"/>
                <w:szCs w:val="24"/>
              </w:rPr>
              <w:t>PONTUAÇÃO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42AA">
              <w:rPr>
                <w:rFonts w:ascii="Times New Roman" w:hAnsi="Times New Roman"/>
                <w:b/>
                <w:bCs/>
                <w:sz w:val="24"/>
                <w:szCs w:val="24"/>
              </w:rPr>
              <w:t>POR EQUIPES</w:t>
            </w:r>
          </w:p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2AA">
              <w:rPr>
                <w:rFonts w:ascii="Times New Roman" w:hAnsi="Times New Roman"/>
                <w:b/>
                <w:bCs/>
                <w:sz w:val="24"/>
                <w:szCs w:val="24"/>
              </w:rPr>
              <w:t>No match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INDIVIDUAL</w:t>
            </w:r>
          </w:p>
        </w:tc>
      </w:tr>
      <w:tr w:rsidR="009E42AA" w:rsidRPr="009E42AA" w:rsidTr="00552CCE">
        <w:trPr>
          <w:trHeight w:val="112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E42AA">
              <w:rPr>
                <w:rFonts w:ascii="Times New Roman" w:hAnsi="Times New Roman"/>
                <w:b/>
              </w:rPr>
              <w:t xml:space="preserve">Vitória 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E42AA">
              <w:rPr>
                <w:rFonts w:ascii="Times New Roman" w:hAnsi="Times New Roman"/>
              </w:rPr>
              <w:t>1,0</w:t>
            </w:r>
          </w:p>
        </w:tc>
      </w:tr>
      <w:tr w:rsidR="009E42AA" w:rsidRPr="009E42AA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2AA">
              <w:rPr>
                <w:rFonts w:ascii="Times New Roman" w:hAnsi="Times New Roman"/>
                <w:b/>
                <w:sz w:val="24"/>
                <w:szCs w:val="24"/>
              </w:rPr>
              <w:t xml:space="preserve">Empate 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E42AA">
              <w:rPr>
                <w:rFonts w:ascii="Times New Roman" w:hAnsi="Times New Roman"/>
              </w:rPr>
              <w:t>1,0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E42AA">
              <w:rPr>
                <w:rFonts w:ascii="Times New Roman" w:hAnsi="Times New Roman"/>
              </w:rPr>
              <w:t>0,5</w:t>
            </w:r>
          </w:p>
        </w:tc>
      </w:tr>
      <w:tr w:rsidR="009E42AA" w:rsidRPr="009E42AA" w:rsidTr="00552CCE">
        <w:trPr>
          <w:trHeight w:val="112"/>
          <w:jc w:val="center"/>
        </w:trPr>
        <w:tc>
          <w:tcPr>
            <w:tcW w:w="2091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E42AA">
              <w:rPr>
                <w:rFonts w:ascii="Times New Roman" w:hAnsi="Times New Roman"/>
                <w:b/>
              </w:rPr>
              <w:t xml:space="preserve">Derrota </w:t>
            </w:r>
          </w:p>
        </w:tc>
        <w:tc>
          <w:tcPr>
            <w:tcW w:w="1505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8º-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Para apuração dos vencedores em cada torneio, depois de apurados todos os resultados, a equipe vencedora e o atleta vencedor serão aqueles que obtiverem o maior número de pontos ao final de todas as rodadas.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9º-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Em caso de empate na pontuação final de cada torneio, serão adotados os seguintes critérios de desempate: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tbl>
      <w:tblPr>
        <w:tblStyle w:val="SombreamentoClaro"/>
        <w:tblW w:w="5000" w:type="pct"/>
        <w:tblLook w:val="04A0" w:firstRow="1" w:lastRow="0" w:firstColumn="1" w:lastColumn="0" w:noHBand="0" w:noVBand="1"/>
      </w:tblPr>
      <w:tblGrid>
        <w:gridCol w:w="3251"/>
        <w:gridCol w:w="5469"/>
      </w:tblGrid>
      <w:tr w:rsidR="009E42AA" w:rsidRPr="009E42AA" w:rsidTr="00552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4" w:type="pct"/>
          </w:tcPr>
          <w:p w:rsidR="009E42AA" w:rsidRPr="009E42AA" w:rsidRDefault="009E42AA" w:rsidP="009E42AA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4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Torneio</w:t>
            </w:r>
          </w:p>
        </w:tc>
        <w:tc>
          <w:tcPr>
            <w:tcW w:w="3136" w:type="pct"/>
          </w:tcPr>
          <w:p w:rsidR="009E42AA" w:rsidRPr="009E42AA" w:rsidRDefault="009E42AA" w:rsidP="009E42AA">
            <w:pPr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4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Critério de Desempate</w:t>
            </w:r>
          </w:p>
        </w:tc>
      </w:tr>
      <w:tr w:rsidR="009E42AA" w:rsidRPr="009E42AA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4" w:type="pct"/>
            <w:vAlign w:val="center"/>
          </w:tcPr>
          <w:p w:rsidR="009E42AA" w:rsidRPr="009E42AA" w:rsidRDefault="009E42AA" w:rsidP="009E42AA">
            <w:pPr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4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 - POR EQUIPES</w:t>
            </w:r>
          </w:p>
        </w:tc>
        <w:tc>
          <w:tcPr>
            <w:tcW w:w="3136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a) Pontuação no match;</w:t>
            </w:r>
          </w:p>
          <w:p w:rsidR="009E42AA" w:rsidRPr="009E42AA" w:rsidRDefault="009E42AA" w:rsidP="009E42A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b) Confronto direto;</w:t>
            </w:r>
          </w:p>
          <w:p w:rsidR="009E42AA" w:rsidRPr="009E42AA" w:rsidRDefault="009E42AA" w:rsidP="009E42A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 xml:space="preserve">c) </w:t>
            </w:r>
            <w:proofErr w:type="spellStart"/>
            <w:r w:rsidRPr="009E42AA">
              <w:rPr>
                <w:rFonts w:ascii="Times New Roman" w:hAnsi="Times New Roman"/>
                <w:sz w:val="24"/>
                <w:szCs w:val="24"/>
              </w:rPr>
              <w:t>Sonneborn</w:t>
            </w:r>
            <w:proofErr w:type="spellEnd"/>
            <w:r w:rsidRPr="009E42AA">
              <w:rPr>
                <w:rFonts w:ascii="Times New Roman" w:hAnsi="Times New Roman"/>
                <w:sz w:val="24"/>
                <w:szCs w:val="24"/>
              </w:rPr>
              <w:t>-Berger;</w:t>
            </w:r>
          </w:p>
          <w:p w:rsidR="009E42AA" w:rsidRPr="009E42AA" w:rsidRDefault="009E42AA" w:rsidP="009E42A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 xml:space="preserve">d) Maior número de </w:t>
            </w:r>
            <w:proofErr w:type="spellStart"/>
            <w:r w:rsidRPr="009E42AA">
              <w:rPr>
                <w:rFonts w:ascii="Times New Roman" w:hAnsi="Times New Roman"/>
                <w:sz w:val="24"/>
                <w:szCs w:val="24"/>
              </w:rPr>
              <w:t>matchs</w:t>
            </w:r>
            <w:proofErr w:type="spellEnd"/>
            <w:r w:rsidRPr="009E42AA">
              <w:rPr>
                <w:rFonts w:ascii="Times New Roman" w:hAnsi="Times New Roman"/>
                <w:sz w:val="24"/>
                <w:szCs w:val="24"/>
              </w:rPr>
              <w:t xml:space="preserve"> de pretas (</w:t>
            </w:r>
            <w:proofErr w:type="spellStart"/>
            <w:r w:rsidRPr="009E42AA">
              <w:rPr>
                <w:rFonts w:ascii="Times New Roman" w:hAnsi="Times New Roman"/>
                <w:sz w:val="24"/>
                <w:szCs w:val="24"/>
              </w:rPr>
              <w:t>Mostblack</w:t>
            </w:r>
            <w:proofErr w:type="spellEnd"/>
            <w:r w:rsidRPr="009E42AA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9E42AA" w:rsidRPr="009E42AA" w:rsidTr="00552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4" w:type="pct"/>
            <w:vAlign w:val="center"/>
          </w:tcPr>
          <w:p w:rsidR="009E42AA" w:rsidRPr="009E42AA" w:rsidRDefault="009E42AA" w:rsidP="009E42AA">
            <w:pPr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4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II - INDIVIDUAL</w:t>
            </w:r>
          </w:p>
        </w:tc>
        <w:tc>
          <w:tcPr>
            <w:tcW w:w="3136" w:type="pct"/>
          </w:tcPr>
          <w:p w:rsidR="009E42AA" w:rsidRPr="009E42AA" w:rsidRDefault="009E42AA" w:rsidP="009E42A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a) Confronto direto;</w:t>
            </w:r>
          </w:p>
          <w:p w:rsidR="009E42AA" w:rsidRPr="009E42AA" w:rsidRDefault="009E42AA" w:rsidP="009E42A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b) Milésimos (</w:t>
            </w:r>
            <w:proofErr w:type="spellStart"/>
            <w:r w:rsidRPr="009E42AA">
              <w:rPr>
                <w:rFonts w:ascii="Times New Roman" w:hAnsi="Times New Roman"/>
                <w:sz w:val="24"/>
                <w:szCs w:val="24"/>
              </w:rPr>
              <w:t>Bucholz</w:t>
            </w:r>
            <w:proofErr w:type="spellEnd"/>
            <w:r w:rsidRPr="009E42AA">
              <w:rPr>
                <w:rFonts w:ascii="Times New Roman" w:hAnsi="Times New Roman"/>
                <w:sz w:val="24"/>
                <w:szCs w:val="24"/>
              </w:rPr>
              <w:t>) com corte do pior resultado;</w:t>
            </w:r>
          </w:p>
          <w:p w:rsidR="009E42AA" w:rsidRPr="009E42AA" w:rsidRDefault="009E42AA" w:rsidP="009E42A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c) Milésimos (</w:t>
            </w:r>
            <w:proofErr w:type="spellStart"/>
            <w:r w:rsidRPr="009E42AA">
              <w:rPr>
                <w:rFonts w:ascii="Times New Roman" w:hAnsi="Times New Roman"/>
                <w:sz w:val="24"/>
                <w:szCs w:val="24"/>
              </w:rPr>
              <w:t>Bucholz</w:t>
            </w:r>
            <w:proofErr w:type="spellEnd"/>
            <w:r w:rsidRPr="009E42AA">
              <w:rPr>
                <w:rFonts w:ascii="Times New Roman" w:hAnsi="Times New Roman"/>
                <w:sz w:val="24"/>
                <w:szCs w:val="24"/>
              </w:rPr>
              <w:t>) totais;</w:t>
            </w:r>
          </w:p>
          <w:p w:rsidR="009E42AA" w:rsidRPr="009E42AA" w:rsidRDefault="009E42AA" w:rsidP="009E42A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>d) Número de vitórias;</w:t>
            </w:r>
          </w:p>
          <w:p w:rsidR="009E42AA" w:rsidRPr="009E42AA" w:rsidRDefault="009E42AA" w:rsidP="009E42A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9E42AA">
              <w:rPr>
                <w:rFonts w:ascii="Times New Roman" w:hAnsi="Times New Roman"/>
                <w:sz w:val="24"/>
                <w:szCs w:val="24"/>
              </w:rPr>
              <w:t xml:space="preserve">e) Maior número de </w:t>
            </w:r>
            <w:proofErr w:type="spellStart"/>
            <w:r w:rsidRPr="009E42AA">
              <w:rPr>
                <w:rFonts w:ascii="Times New Roman" w:hAnsi="Times New Roman"/>
                <w:sz w:val="24"/>
                <w:szCs w:val="24"/>
              </w:rPr>
              <w:t>matchs</w:t>
            </w:r>
            <w:proofErr w:type="spellEnd"/>
            <w:r w:rsidRPr="009E42AA">
              <w:rPr>
                <w:rFonts w:ascii="Times New Roman" w:hAnsi="Times New Roman"/>
                <w:sz w:val="24"/>
                <w:szCs w:val="24"/>
              </w:rPr>
              <w:t xml:space="preserve"> de pretas (</w:t>
            </w:r>
            <w:proofErr w:type="spellStart"/>
            <w:r w:rsidRPr="009E42AA">
              <w:rPr>
                <w:rFonts w:ascii="Times New Roman" w:hAnsi="Times New Roman"/>
                <w:sz w:val="24"/>
                <w:szCs w:val="24"/>
              </w:rPr>
              <w:t>Mostblack</w:t>
            </w:r>
            <w:proofErr w:type="spellEnd"/>
            <w:r w:rsidRPr="009E42AA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</w:tbl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Parágrafo Único. Caso persista o empate na competição, será realizado um sorteio de outro critério de desempate para definir as colocações. Persistindo o empate, será realizada uma partida desempate com ritmo de jogo de 05 minutos KO para cada jogador (Blitz).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10-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Os jogadores deverão anotar em sistema algébrico abreviado, na planilha prescrita para a competição, os seus próprios lances e os lances do adversário de maneira legível, em conformidade com as regras do xadrez estabelecidas pela FIDE.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11-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Não será permitido empate de comum acordo com menos de 20 (vinte) lances, a menos que ocorra pela regra de 03 (três) repetições de diagrama.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12-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É expressamente proibido portar celulares ou qualquer aparelho eletrônico de comunicação no salão de jogos. O descumprimento a esta regra acarretará a perda do ponto da partida, mesmo após o término da mesma, enquanto a rodada estiver em andamento.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13-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A Comissão Geral Organizadora disponibilizará a competição o material abaixo: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I – Tabuleiro;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II – Planilha de anotação;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Cs/>
          <w:sz w:val="24"/>
          <w:szCs w:val="24"/>
          <w:lang w:eastAsia="pt-BR"/>
        </w:rPr>
        <w:lastRenderedPageBreak/>
        <w:t xml:space="preserve">Parágrafo Único.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Cada enxadrista deverá trazer o seu material de jogo (peças e relógios oficiais e em perfeito estado de funcionamento).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14-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A ordem dos tabuleiros deverá ser entregue à organização no Congresso Técnico da modalidade, ocasião em que o árbitro chefe estará disponível a tirar dúvidas dos alunos-atletas e </w:t>
      </w:r>
      <w:r w:rsidRPr="009E42AA">
        <w:rPr>
          <w:rFonts w:ascii="Times New Roman" w:eastAsia="Calibri" w:hAnsi="Times New Roman" w:cs="Times New Roman"/>
          <w:sz w:val="24"/>
          <w:szCs w:val="24"/>
        </w:rPr>
        <w:t>profissionais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-técnicos sobre as Leis do Xadrez.</w:t>
      </w:r>
    </w:p>
    <w:p w:rsidR="009E42AA" w:rsidRP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15-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O atleta que estiver cumprindo penas disciplinares estará impedido de participar dos demais jogos dessa modalidade até o total cumprimento de sua pena.</w:t>
      </w:r>
    </w:p>
    <w:p w:rsidR="009E42AA" w:rsidRDefault="009E42AA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9E42A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16- </w:t>
      </w:r>
      <w:r w:rsidRPr="009E42AA">
        <w:rPr>
          <w:rFonts w:ascii="Times New Roman" w:eastAsia="Calibri" w:hAnsi="Times New Roman" w:cs="Times New Roman"/>
          <w:sz w:val="24"/>
          <w:szCs w:val="24"/>
          <w:lang w:eastAsia="pt-BR"/>
        </w:rPr>
        <w:t>Os casos omissos serão resolvidos pela coordenação da modalidade.</w:t>
      </w:r>
    </w:p>
    <w:p w:rsidR="007F6DC1" w:rsidRDefault="007F6DC1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7F6DC1" w:rsidRDefault="007F6DC1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7F6DC1" w:rsidRDefault="007F6DC1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7F6DC1" w:rsidRDefault="007F6DC1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7F6DC1" w:rsidRPr="007F6DC1" w:rsidRDefault="007F6DC1" w:rsidP="007F6DC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F6DC1">
        <w:rPr>
          <w:rFonts w:ascii="Times New Roman" w:eastAsia="Calibri" w:hAnsi="Times New Roman" w:cs="Times New Roman"/>
          <w:sz w:val="24"/>
          <w:szCs w:val="24"/>
        </w:rPr>
        <w:t>COMISSÃO ORGANIZADORA</w:t>
      </w:r>
    </w:p>
    <w:p w:rsidR="007F6DC1" w:rsidRPr="009E42AA" w:rsidRDefault="007F6DC1" w:rsidP="009E4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9E42AA" w:rsidRPr="009E42AA" w:rsidRDefault="009E42AA" w:rsidP="009E42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:rsidR="009E42AA" w:rsidRDefault="009E42AA" w:rsidP="009E42AA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9E42AA" w:rsidRDefault="009E42AA" w:rsidP="009E42AA">
      <w:pPr>
        <w:pStyle w:val="SemEspaamento"/>
      </w:pPr>
    </w:p>
    <w:p w:rsidR="00B16D8D" w:rsidRDefault="00B16D8D" w:rsidP="001644DB"/>
    <w:p w:rsidR="00B16D8D" w:rsidRPr="00B16D8D" w:rsidRDefault="00B16D8D" w:rsidP="00B16D8D"/>
    <w:p w:rsidR="00B16D8D" w:rsidRPr="00B16D8D" w:rsidRDefault="00B16D8D" w:rsidP="00B16D8D"/>
    <w:sectPr w:rsidR="00B16D8D" w:rsidRPr="00B16D8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82" w:rsidRDefault="001B6182" w:rsidP="001644DB">
      <w:pPr>
        <w:spacing w:after="0" w:line="240" w:lineRule="auto"/>
      </w:pPr>
      <w:r>
        <w:separator/>
      </w:r>
    </w:p>
  </w:endnote>
  <w:endnote w:type="continuationSeparator" w:id="0">
    <w:p w:rsidR="001B6182" w:rsidRDefault="001B6182" w:rsidP="0016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</w:rPr>
    </w:pPr>
  </w:p>
  <w:p w:rsidR="00B16D8D" w:rsidRP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IFRO – PROEX – CCEC</w:t>
    </w:r>
  </w:p>
  <w:p w:rsid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</w:p>
  <w:p w:rsidR="00B16D8D" w:rsidRP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Av. Sete de Setembro, n° 2090. Bairro Nossa Senhora das Graças – CEP: 76804-124 - Fone (69) 2182 – 9629/2182-9613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82" w:rsidRDefault="001B6182" w:rsidP="001644DB">
      <w:pPr>
        <w:spacing w:after="0" w:line="240" w:lineRule="auto"/>
      </w:pPr>
      <w:r>
        <w:separator/>
      </w:r>
    </w:p>
  </w:footnote>
  <w:footnote w:type="continuationSeparator" w:id="0">
    <w:p w:rsidR="001B6182" w:rsidRDefault="001B6182" w:rsidP="00164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>
    <w:pPr>
      <w:pStyle w:val="Cabealho"/>
    </w:pP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1E70ADF3" wp14:editId="63CE0EA7">
          <wp:simplePos x="0" y="0"/>
          <wp:positionH relativeFrom="column">
            <wp:posOffset>-377190</wp:posOffset>
          </wp:positionH>
          <wp:positionV relativeFrom="paragraph">
            <wp:posOffset>-361315</wp:posOffset>
          </wp:positionV>
          <wp:extent cx="1629410" cy="796290"/>
          <wp:effectExtent l="0" t="0" r="8890" b="3810"/>
          <wp:wrapThrough wrapText="bothSides">
            <wp:wrapPolygon edited="0">
              <wp:start x="0" y="0"/>
              <wp:lineTo x="0" y="21187"/>
              <wp:lineTo x="21465" y="21187"/>
              <wp:lineTo x="21465" y="0"/>
              <wp:lineTo x="0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73151287" wp14:editId="0A74BA89">
          <wp:simplePos x="0" y="0"/>
          <wp:positionH relativeFrom="column">
            <wp:posOffset>2352675</wp:posOffset>
          </wp:positionH>
          <wp:positionV relativeFrom="paragraph">
            <wp:posOffset>-360680</wp:posOffset>
          </wp:positionV>
          <wp:extent cx="502285" cy="518160"/>
          <wp:effectExtent l="323850" t="285750" r="278765" b="281940"/>
          <wp:wrapNone/>
          <wp:docPr id="6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18160"/>
                  </a:xfrm>
                  <a:prstGeom prst="rect">
                    <a:avLst/>
                  </a:prstGeom>
                  <a:gradFill>
                    <a:gsLst>
                      <a:gs pos="0">
                        <a:srgbClr val="4F81BD">
                          <a:tint val="66000"/>
                          <a:satMod val="160000"/>
                        </a:srgbClr>
                      </a:gs>
                      <a:gs pos="50000">
                        <a:srgbClr val="4F81BD">
                          <a:tint val="44500"/>
                          <a:satMod val="160000"/>
                        </a:srgbClr>
                      </a:gs>
                      <a:gs pos="100000">
                        <a:srgbClr val="4F81BD">
                          <a:tint val="23500"/>
                          <a:satMod val="160000"/>
                        </a:srgb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</wp:anchor>
      </w:drawing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MINISTÉRIO DA EDUCAÇÃO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SECRETARIA DE EDUCAÇÃO PROFISSIONAL E TECNOLÓGICA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INSTITUTO FEDERAL DE EDUCAÇÃO, CIÊNCIA E TECNOLOGIA DE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RONDÔNIA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PRÓ-REITORIA DE EXTENSÃO</w:t>
    </w:r>
  </w:p>
  <w:p w:rsid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COORDENAÇÃO DE CULTURA, ESPORTE 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CIDADANIA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DB"/>
    <w:rsid w:val="000A087B"/>
    <w:rsid w:val="001644DB"/>
    <w:rsid w:val="001A1627"/>
    <w:rsid w:val="001B6182"/>
    <w:rsid w:val="00255531"/>
    <w:rsid w:val="003D731B"/>
    <w:rsid w:val="005A5142"/>
    <w:rsid w:val="007A2856"/>
    <w:rsid w:val="007F6DC1"/>
    <w:rsid w:val="008C007D"/>
    <w:rsid w:val="0098423A"/>
    <w:rsid w:val="009E42AA"/>
    <w:rsid w:val="00A73934"/>
    <w:rsid w:val="00B1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  <w:style w:type="table" w:styleId="SombreamentoClaro">
    <w:name w:val="Light Shading"/>
    <w:basedOn w:val="Tabelanormal"/>
    <w:uiPriority w:val="60"/>
    <w:rsid w:val="009E42AA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  <w:style w:type="table" w:styleId="SombreamentoClaro">
    <w:name w:val="Light Shading"/>
    <w:basedOn w:val="Tabelanormal"/>
    <w:uiPriority w:val="60"/>
    <w:rsid w:val="009E42AA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B8381-6D5C-4E17-838A-B60B1068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Vandeman de Jesus Torres</dc:creator>
  <cp:lastModifiedBy>Diego Carlos de Oliveira Ferreira</cp:lastModifiedBy>
  <cp:revision>4</cp:revision>
  <dcterms:created xsi:type="dcterms:W3CDTF">2017-05-04T16:09:00Z</dcterms:created>
  <dcterms:modified xsi:type="dcterms:W3CDTF">2017-05-05T20:25:00Z</dcterms:modified>
</cp:coreProperties>
</file>